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lineRule="atLeast" w:line="195"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</w:r>
    </w:p>
    <w:p>
      <w:pPr>
        <w:pStyle w:val="Style16"/>
        <w:widowControl/>
        <w:spacing w:lineRule="atLeast" w:line="195"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  <w:t>ИНФОРМАЦИОННОЕ СООБЩЕНИЕ</w:t>
        <w:br/>
        <w:t xml:space="preserve">о проведении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  <w:t>конкурса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  <w:t xml:space="preserve"> по продаже муниципального имущества</w:t>
        <w:br/>
        <w:t>в электронной форме</w:t>
      </w:r>
    </w:p>
    <w:p>
      <w:pPr>
        <w:pStyle w:val="Style16"/>
        <w:widowControl/>
        <w:spacing w:lineRule="atLeast" w:line="195" w:before="0" w:after="0"/>
        <w:ind w:left="0" w:right="0" w:hanging="0"/>
        <w:jc w:val="center"/>
        <w:rPr/>
      </w:pPr>
      <w:r>
        <w:rPr/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Извещение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torgi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gov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 xml:space="preserve">ru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130421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/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0131385/01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Дата окончания приёма заявок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«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10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»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мая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 202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1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 г.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Дата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проведения конкурса 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«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12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»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мая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 202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1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 г.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Style16"/>
        <w:widowControl/>
        <w:spacing w:lineRule="atLeast" w:line="195" w:before="0" w:after="475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ОГЛАВЛЕНИЕ</w:t>
      </w:r>
    </w:p>
    <w:p>
      <w:pPr>
        <w:pStyle w:val="Style16"/>
        <w:widowControl/>
        <w:spacing w:lineRule="atLeast" w:line="240" w:before="0" w:after="29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ИЗВЕЩЕНИЕ О ПРОВЕДЕНИИ ТОРГОВ</w:t>
      </w:r>
    </w:p>
    <w:p>
      <w:pPr>
        <w:pStyle w:val="Style16"/>
        <w:widowControl/>
        <w:spacing w:lineRule="atLeast" w:line="240" w:before="0" w:after="29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</w:rPr>
        <w:t xml:space="preserve">ПРИЛОЖЕНИЕ 1. </w:t>
      </w:r>
      <w:r>
        <w:rPr>
          <w:rFonts w:cs="Times New Roman"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</w:rPr>
        <w:t>Заявка на участие в конкурсе</w:t>
      </w:r>
    </w:p>
    <w:p>
      <w:pPr>
        <w:pStyle w:val="Style16"/>
        <w:widowControl/>
        <w:spacing w:lineRule="atLeast" w:line="240" w:before="0" w:after="29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</w:rPr>
        <w:t xml:space="preserve">ПРИЛОЖЕНИЕ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</w:rPr>
        <w:t>2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</w:rPr>
        <w:t xml:space="preserve">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</w:rPr>
        <w:t>Проект договора купли-продажи имущества</w:t>
      </w:r>
    </w:p>
    <w:p>
      <w:pPr>
        <w:pStyle w:val="Style16"/>
        <w:widowControl/>
        <w:spacing w:lineRule="atLeast" w:line="195" w:before="0" w:after="0"/>
        <w:ind w:left="0" w:right="0" w:hanging="0"/>
        <w:rPr/>
      </w:pPr>
      <w:r>
        <w:rPr/>
      </w:r>
    </w:p>
    <w:tbl>
      <w:tblPr>
        <w:tblW w:w="1026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2" w:space="0" w:color="00000A"/>
          <w:right w:val="single" w:sz="6" w:space="0" w:color="00000A"/>
          <w:insideH w:val="single" w:sz="2" w:space="0" w:color="00000A"/>
          <w:insideV w:val="single" w:sz="6" w:space="0" w:color="00000A"/>
        </w:tblBorders>
        <w:tblCellMar>
          <w:top w:w="105" w:type="dxa"/>
          <w:left w:w="97" w:type="dxa"/>
          <w:bottom w:w="105" w:type="dxa"/>
          <w:right w:w="105" w:type="dxa"/>
        </w:tblCellMar>
      </w:tblPr>
      <w:tblGrid>
        <w:gridCol w:w="2781"/>
        <w:gridCol w:w="3169"/>
        <w:gridCol w:w="4312"/>
      </w:tblGrid>
      <w:tr>
        <w:trPr/>
        <w:tc>
          <w:tcPr>
            <w:tcW w:w="10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FFFFCC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ведения о процедуре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Тип процедуры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Конкурс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(приватизация)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процедуры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Конкурс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продаже муниципального имущества в электронной форме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Адрес электронной площадки в сети «Интернет»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tLeast" w:line="225" w:before="0" w:after="115"/>
              <w:ind w:left="0" w:right="0" w:hanging="0"/>
              <w:jc w:val="both"/>
              <w:rPr/>
            </w:pPr>
            <w:hyperlink r:id="rId2">
              <w:r>
                <w:rPr>
                  <w:rStyle w:val="Style14"/>
                  <w:rFonts w:ascii="Times New Roman" w:hAnsi="Times New Roman"/>
                  <w:sz w:val="26"/>
                  <w:szCs w:val="26"/>
                </w:rPr>
                <w:t>http://utp.sberbank-ast.ru</w:t>
              </w:r>
            </w:hyperlink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Сайт Организатора процедуры (Продавца) в сети «Интернет»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https://dms.admsov.com/</w:t>
              </w:r>
            </w:hyperlink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33333"/>
                <w:spacing w:val="0"/>
                <w:sz w:val="21"/>
                <w:szCs w:val="26"/>
                <w:u w:val="single"/>
              </w:rPr>
              <w:t>SBR012-2104130056</w:t>
            </w:r>
            <w:r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регистрации Претендентов на электронной площадке, правила проведения процедуры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Определены в регламенте Торговой секции «Приватизация, аренда и продажа прав» (далее – ТС) электронной площадки (далее – ЭП)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Нормативное регулирование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Организаторе процедуры (Продавце)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spacing w:lineRule="atLeast" w:line="225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Департамент муниципальной собственности администрации Советского района. </w:t>
            </w:r>
          </w:p>
          <w:p>
            <w:pPr>
              <w:pStyle w:val="Normal"/>
              <w:widowControl/>
              <w:spacing w:lineRule="atLeast" w:line="225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ИНН 8615011481, 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highlight w:val="white"/>
                <w:lang w:val="ru-RU"/>
              </w:rPr>
              <w:t xml:space="preserve">КПП 861501001, 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Юридический адрес: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628240,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50 лет Пионерии ул., д.10, г.Советский, Советский район, Ханты-Мансийский автономный округ – Югра, Тюменская область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Фактический (почтовый) адрес: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628240,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50 лет Пионерии ул., д.10, г.Советский, Советский район, Ханты-Мансийский автономный округ – Югра, Тюменская область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Контактное лицо: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Богатова Светлана Георгиевна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 электронной почты: </w:t>
            </w:r>
            <w:hyperlink r:id="rId4">
              <w:r>
                <w:rPr>
                  <w:rStyle w:val="Style14"/>
                  <w:rFonts w:ascii="Times New Roman" w:hAnsi="Times New Roman"/>
                  <w:sz w:val="26"/>
                  <w:szCs w:val="26"/>
                  <w:lang w:val="en-US"/>
                </w:rPr>
                <w:t>Bogatovasg@admsov.com</w:t>
              </w:r>
            </w:hyperlink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телефон: (346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 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4854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4855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Уполномоченный представитель Продавца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Комиссия по приватизации муниципального имущества Советского района, утвержденная распоряжением  администрации Советского района от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139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-р </w:t>
            </w:r>
          </w:p>
        </w:tc>
      </w:tr>
      <w:tr>
        <w:trPr/>
        <w:tc>
          <w:tcPr>
            <w:tcW w:w="10262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FFFFCC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Лоты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Номер лота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9.1.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лота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Электросетевое имущество единым лотом:</w:t>
            </w:r>
          </w:p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КТП 250/10/0,4, общей площадью - 4,8 м., по адресу: Р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оссия, Ханты-Мансийский автономный округ-Югра, Советский район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г.Советский,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мкр-н Западный;</w:t>
            </w:r>
          </w:p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- сети электроснабжения ВЛ-10 кВт, протяженность - 300 м., по адресу: Россия, Ханты-Мансийский автономный округ-Югра, Советский район,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г.Советский,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территория СОТ «Гудок»;</w:t>
            </w:r>
          </w:p>
          <w:p>
            <w:pPr>
              <w:pStyle w:val="Normal"/>
              <w:widowControl/>
              <w:tabs>
                <w:tab w:val="left" w:pos="0" w:leader="none"/>
              </w:tabs>
              <w:suppressAutoHyphens w:val="false"/>
              <w:autoSpaceDE w:val="false"/>
              <w:spacing w:lineRule="atLeast" w:line="225" w:before="0" w:after="115"/>
              <w:ind w:left="-3" w:right="-108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  <w:lang w:eastAsia="ru-RU"/>
              </w:rPr>
              <w:t xml:space="preserve">- сети электроснабжения ВЛ-0,4 кВт,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highlight w:val="white"/>
                <w:u w:val="none"/>
                <w:em w:val="none"/>
                <w:lang w:eastAsia="ru-RU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  <w:lang w:eastAsia="ru-RU"/>
              </w:rPr>
              <w:t xml:space="preserve">ротяженность - 4000 м., по адресу: Россия, Ханты-Мансийский автономный округ-Югра, Советский район,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  <w:lang w:eastAsia="ru-RU"/>
              </w:rPr>
              <w:t xml:space="preserve">г.Советский,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  <w:lang w:eastAsia="ru-RU"/>
              </w:rPr>
              <w:t>территория СОТ «Гудок»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>
            <w:pPr>
              <w:pStyle w:val="Normal"/>
              <w:widowControl/>
              <w:tabs>
                <w:tab w:val="left" w:pos="0" w:leader="none"/>
              </w:tabs>
              <w:suppressAutoHyphens w:val="false"/>
              <w:autoSpaceDE w:val="false"/>
              <w:spacing w:lineRule="atLeast" w:line="225" w:before="0" w:after="115"/>
              <w:ind w:left="-3" w:right="-108" w:hanging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азмещение объекта  на земельных участках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возможно без предоставления земельных участков и установления сервитута в соответствии со ст.39.36 ЗК РФ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9.2.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 продажи имущества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16"/>
              <w:widowControl/>
              <w:spacing w:lineRule="atLeast" w:line="240" w:before="0" w:after="29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остановление  администрации Советского района от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04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.20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 №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843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FF"/>
                <w:spacing w:val="0"/>
                <w:sz w:val="26"/>
                <w:szCs w:val="26"/>
                <w:u w:val="none"/>
                <w:effect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«О проведении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  <w:lang w:val="ru-RU"/>
              </w:rPr>
              <w:t>конкурса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 по продаже муниципального имущества».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Описание имущества (характеристики)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tabs>
                <w:tab w:val="left" w:pos="0" w:leader="none"/>
              </w:tabs>
              <w:suppressAutoHyphens w:val="false"/>
              <w:autoSpaceDE w:val="false"/>
              <w:spacing w:lineRule="atLeast" w:line="225" w:before="0" w:after="115"/>
              <w:ind w:left="-3" w:right="-108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лот является системой коммунальной инфраструктуры – комплексом технологически связанных между собой объектов и инженерных сооружений, предназначенных для оказания услуг в сфере электроснабжения.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9.4.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Обременения (ограничения)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2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Имущество, входящее в состав лота,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обременен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договором 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аренды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09-12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 </w:t>
            </w:r>
            <w:r>
              <w:rPr>
                <w:rFonts w:ascii="Times New Roman" w:hAnsi="Times New Roman"/>
                <w:sz w:val="26"/>
                <w:szCs w:val="26"/>
              </w:rPr>
              <w:t>АО «Югорская региональная электросетевая компания»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28.12.2017 по 27.12.202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2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9.5.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Начальная цена, руб.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656 000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9.6.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Задаток, руб.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131 200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Номер лота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10.1.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лота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Электросетевое имущество единым лотом:</w:t>
            </w:r>
          </w:p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-Трансформаторная подстанция, общей площадью - 10 м., по адресу: Россия, Ханты-Мансийский автономный округ-Югра, Советский район, г.Советский, территория с/т «Строитель» с одновременным отчуждением земельного участка под трансформаторную подстанцию, с кадастровым номером 86:09:0101021:516, общей площадью 50 квадратных метров,</w:t>
            </w:r>
          </w:p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-сети электроснабжения ВЛ-0,4 кВт,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ротяженность - 5600 м., по адресу: Россия, Ханты-Мансийский автономный округ-Югра, Советский район территория с/т «Строитель».</w:t>
            </w:r>
          </w:p>
          <w:p>
            <w:pPr>
              <w:pStyle w:val="Normal"/>
              <w:tabs>
                <w:tab w:val="left" w:pos="0" w:leader="none"/>
              </w:tabs>
              <w:autoSpaceDE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земельный участок, из земель населенных пунктов, с кадастровым номером 86:09:0101021:516, общей площадью 50 кв.м., вид разрешенного использования: под трансформаторную подстанцию.</w:t>
            </w:r>
          </w:p>
          <w:p>
            <w:pPr>
              <w:pStyle w:val="Normal"/>
              <w:widowControl/>
              <w:tabs>
                <w:tab w:val="left" w:pos="0" w:leader="none"/>
              </w:tabs>
              <w:suppressAutoHyphens w:val="false"/>
              <w:autoSpaceDE w:val="false"/>
              <w:spacing w:lineRule="atLeast" w:line="225" w:before="0" w:after="115"/>
              <w:ind w:left="-3" w:right="-108" w:hang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10.2.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 продажи имущества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16"/>
              <w:widowControl/>
              <w:spacing w:lineRule="atLeast" w:line="240" w:before="0" w:after="29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остановление  администрации Советского района от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07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.20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 №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>846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FF"/>
                <w:spacing w:val="0"/>
                <w:sz w:val="26"/>
                <w:szCs w:val="26"/>
                <w:u w:val="none"/>
                <w:effect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«О проведении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  <w:lang w:val="ru-RU"/>
              </w:rPr>
              <w:t>конкурса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26"/>
                <w:szCs w:val="26"/>
                <w:u w:val="none"/>
                <w:effect w:val="none"/>
              </w:rPr>
              <w:t xml:space="preserve"> по продаже муниципального имущества»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Описание имущества (характеристики)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tabs>
                <w:tab w:val="left" w:pos="0" w:leader="none"/>
              </w:tabs>
              <w:suppressAutoHyphens w:val="false"/>
              <w:autoSpaceDE w:val="false"/>
              <w:spacing w:lineRule="atLeast" w:line="225" w:before="0" w:after="115"/>
              <w:ind w:left="-3" w:right="-108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лот является системой коммунальной инфраструктуры – комплексом технологически связанных между собой объектов и инженерных сооружений, предназначенных для оказания услуг в сфере электроснабжения.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10.4.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Обременения (ограничения)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2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Имущество, входящее в состав лота,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обременен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договором 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аренды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09-12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 </w:t>
            </w:r>
            <w:r>
              <w:rPr>
                <w:rFonts w:ascii="Times New Roman" w:hAnsi="Times New Roman"/>
                <w:sz w:val="26"/>
                <w:szCs w:val="26"/>
              </w:rPr>
              <w:t>АО «Югорская региональная электросетевая компания»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28.12.2017 по 27.12.202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2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10.5.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Начальная цена, руб.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248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000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10.6.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Задаток, руб.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49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Условия конкурса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pBdr/>
              <w:tabs>
                <w:tab w:val="left" w:pos="1166" w:leader="none"/>
              </w:tabs>
              <w:spacing w:before="0" w:after="0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эксплуатационные обязательства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pBdr/>
              <w:tabs>
                <w:tab w:val="left" w:pos="1166" w:leader="none"/>
              </w:tabs>
              <w:spacing w:before="0" w:after="0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</w:rPr>
              <w:t>. обязанность победителя конкурса осуществлять поставку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>
            <w:pPr>
              <w:pStyle w:val="Style22"/>
              <w:numPr>
                <w:ilvl w:val="0"/>
                <w:numId w:val="0"/>
              </w:numPr>
              <w:pBdr/>
              <w:tabs>
                <w:tab w:val="left" w:pos="1157" w:leader="none"/>
              </w:tabs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eastAsia="ru-RU"/>
              </w:rPr>
              <w:t>2. обязанность победителя конкурса не превышать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владельцем: для потребителей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.2.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инвестиционные обязательства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pBdr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соответствии с положениями Федерального закона от 26.03.2003 №35-ФЗ «Об электроэнергетике» и инвестиционной программой субъекта электроэнергетики. </w:t>
            </w:r>
          </w:p>
          <w:p>
            <w:pPr>
              <w:pStyle w:val="Style22"/>
              <w:pBdr/>
              <w:tabs>
                <w:tab w:val="left" w:pos="1365" w:leader="none"/>
              </w:tabs>
              <w:suppressAutoHyphens w:val="tru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spacing w:val="2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ru-RU" w:eastAsia="zh-CN" w:bidi="ar-SA"/>
              </w:rPr>
              <w:t xml:space="preserve">Содержание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 w:eastAsia="ru-RU" w:bidi="ar-SA"/>
              </w:rPr>
              <w:t xml:space="preserve">инвестиционного обязательства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ru-RU" w:eastAsia="zh-CN" w:bidi="ar-SA"/>
              </w:rPr>
              <w:t xml:space="preserve">должно соответствовать требованиям, предъявляемым к содержанию инвестиционных программ.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2"/>
                <w:sz w:val="26"/>
                <w:szCs w:val="26"/>
                <w:lang w:val="ru-RU" w:eastAsia="ru-RU" w:bidi="ar-SA"/>
              </w:rPr>
              <w:t xml:space="preserve">Срок исполнения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2"/>
                <w:sz w:val="26"/>
                <w:szCs w:val="26"/>
                <w:lang w:val="ru-RU" w:eastAsia="ru-RU" w:bidi="ar-SA"/>
              </w:rPr>
              <w:t xml:space="preserve">инвестиционных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2"/>
                <w:sz w:val="26"/>
                <w:szCs w:val="26"/>
                <w:lang w:val="ru-RU" w:eastAsia="ru-RU" w:bidi="ar-SA"/>
              </w:rPr>
              <w:t>обязательств составляет 5 (пять) лет.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Срок и порядок внесения и возврата задатка. Реквизиты счёта для перечисления задатка. Назначение платежа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перечисляется на счёт оператора ЭП в порядке, определённом в регламенте ТС ЭП. Реквизиты для перечисления средств и назначение платежа представлены в ТС пункт меню «Информация по ТС» подпункт «Банковские реквизиты» </w:t>
            </w:r>
            <w:hyperlink r:id="rId5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http://utp.sberbank-ast.ru/Bankruptcy/Notice/698/Requisites</w:t>
              </w:r>
            </w:hyperlink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момент подачи заявки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непоступлении на ЭП задатка от такого претендента (Претендент не допускается к участию в процедуре).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Разблокирование задатка производится в порядке, определённом в регламенте ТС ЭП.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ВНИМАНИЕ!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Срок зачисления денежных средств на Лицевой счёт Претендента на ЭП –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от 1 до 3 рабочих дней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. Денежные средства, перечисленные за Претендента третьим лицом,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не зачисляются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на Лицевой счёт такого Претендента.</w:t>
            </w:r>
          </w:p>
        </w:tc>
      </w:tr>
      <w:tr>
        <w:trPr>
          <w:trHeight w:val="990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конкурса.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lang w:val="ru-RU"/>
              </w:rPr>
              <w:t>1. Э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lang w:val="ru-RU"/>
              </w:rPr>
              <w:t>лектронный конкурс проводится в указанные в информационном сообщении день и час путем предложения цены за имущество.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Во время проведения процедуры конкурса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2. Со времени начала проведения процедуры конкурса Организатором размещается: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в открытой части электронной площадки - информация о начале проведения процедуры конкурса с указанием наименования имущества, начальной цены и цен предложенных за имущество;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время, оставшееся до окончания приема предложений о цене имущества.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3. В течение одного часа со времени начала проведения процедуры конкурса участникам предлагается заявить о приобретении имущества, указав цену имущества, по которой они согласны приобрести имущество. В случае, если в течение указанного времени не поступило ни одного предложения о начальной цене имущества, то конкурс с помощью программно-аппаратных средств электронной площадки завершается.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4. Во время проведения процедуры конкурса программными средствами электронной площадки обеспечивается исключение возможности подачи участником предложения о цене имущества ниже начальной цены.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5. Победителем конкурса признается участник, предложивший наибольшую цену имущества, а в случае равенства цен, тот участник который раньше сделал свое предложение.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6. Ход проведения процедуры конкурса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конкурса путем оформления протокола об итогах конкурса. Протокол об итогах конкурса,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</w:t>
            </w:r>
          </w:p>
          <w:p>
            <w:pPr>
              <w:pStyle w:val="Style16"/>
              <w:widowControl/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7. Конкурс признается несостоявшимся в следующих случаях: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не было подано ни одной заявки на участие либо ни один из Претендентов не признан участником;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принято решение о признании только одного Претендента участником;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ни один из участников не сделал предложение о цене имущества;</w:t>
            </w:r>
          </w:p>
          <w:p>
            <w:pPr>
              <w:pStyle w:val="Style16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- конкурс, в котором принял участие только один участник.</w:t>
            </w:r>
          </w:p>
        </w:tc>
      </w:tr>
      <w:tr>
        <w:trPr>
          <w:trHeight w:val="3264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 заключения договора купли-продажи имущества по итогам процедуры 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Договор купли-продажи имущества заключается с победителем торгов в течение 5 (пяти) рабочих дней с даты подведения итогов в форме электронного документа. При уклонении или отказе победителя процедуры от заключения в установленный срок договора купли-продажи имущества победитель утрачивает право на заключение указанного договора.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6"/>
                <w:szCs w:val="26"/>
                <w:u w:val="none"/>
              </w:rPr>
              <w:t>Договор купли-продажи  муниципального имущества включает в себя порядок выполнения победителем конкурса условий конкурса.</w:t>
            </w:r>
          </w:p>
        </w:tc>
      </w:tr>
      <w:tr>
        <w:trPr>
          <w:trHeight w:val="2580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Условия и сроки платежа по договору купли-продажи имущества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Оплата по договору купли-продажи имущества производится единовременно в течение 30 (тридцати) дней с момента его подписания безналичным путём на расчётный счёт Организатора процедуры (Продавца), указанный в договоре. Средством платежа признаётся валюта Российской Федерации. Моментом оплаты считается день зачисления денежных средств на реквизиты, указанные в договоре купли-продажи имущества. Уплата НДС производится покупателем (кроме физических лиц) самостоятельно, в соответствии с действующим законодательством Российской Федерации</w:t>
            </w:r>
          </w:p>
        </w:tc>
      </w:tr>
      <w:tr>
        <w:trPr>
          <w:trHeight w:val="2595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16.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имущества и оформление права собственности на него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имущества, а также акт приёма-передачи имущества.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ВНИМАНИЕ!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Расходы, связанные с государственной регистрацией права собственности на имущество, несёт Покупатель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ознакомления с иной информацией, условиями договора купли-продажи имущества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Любое лицо (независимо от регистрации в ТС ЭП) вправе не позднее 5 рабочих дней до окончания подачи заявок направить запрос о разъяснении размещённой информации: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2) 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перейти в «Реестр процедур», нажать 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иктограмму «Направить запрос о разъяснениях».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форме запроса необходимо указать тему запроса, в поле «Запрос на разъяснение» прикрепить файл с содержанием запроса, нажать кнопку «Направить запрос».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Ответ Организатора процедуры (Продавца) с разъяснениями размещается в извещении о проведении процедуры продажи</w:t>
            </w:r>
          </w:p>
          <w:p>
            <w:pPr>
              <w:pStyle w:val="Normal"/>
              <w:widowControl/>
              <w:bidi w:val="0"/>
              <w:spacing w:lineRule="atLeast" w:line="225" w:before="0" w:after="115"/>
              <w:ind w:left="0" w:right="0" w:hanging="0"/>
              <w:jc w:val="both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Любое заинтересованное лицо, со дня начала приема заявок вправе осмотреть выставленное на продажу Имущество. Такое лицо направляет на электронный адрес Организатора, указанный в настоящем информационном сообщении, запрос.  Дополнительную информацию можно получить по тел. 8 (3467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54854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электронный адрес </w:t>
            </w:r>
            <w:hyperlink r:id="rId6">
              <w:r>
                <w:rPr>
                  <w:rStyle w:val="Style14"/>
                  <w:rFonts w:ascii="Times New Roman" w:hAnsi="Times New Roman"/>
                  <w:sz w:val="26"/>
                  <w:szCs w:val="26"/>
                  <w:lang w:val="en-US"/>
                </w:rPr>
                <w:t>Bogatovasg@admsov.com</w:t>
              </w:r>
            </w:hyperlink>
          </w:p>
        </w:tc>
      </w:tr>
      <w:tr>
        <w:trPr>
          <w:trHeight w:val="1845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Условия, указанные в извещении,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на счёт являются акцептом такой оферты, и договор о задатке считается заключённым в установленном порядке.</w:t>
            </w:r>
          </w:p>
        </w:tc>
      </w:tr>
      <w:tr>
        <w:trPr/>
        <w:tc>
          <w:tcPr>
            <w:tcW w:w="10262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FFFFCC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Порядок оформления заявок на участие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Требования, предъявляемые к участнику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участию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конкурсе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допускаются любые юридические и физические лица (с учётом ограничения участия отдельных категорий участников, установленных ст. 5 Закона о приватизации), своевременно подавшие заявку на участие в продаже (с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риложением электронных образов документов, предусмотренных Законом о приватизации) и обеспечившие в установленный срок перечисление задатка.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ВНИМАНИЕ!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Для подачи заявки на участие в продаже Претендент должен быть зарегистрирован в ТС ЭП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Перечень документов, представляемых участником в составе заявки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ЮРИДИЧЕСКИЕ ЛИЦА: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копии учредительных документов;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ФИЗИЧЕСКИЕ ЛИЦА: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копия всех листов документа, удостоверяющий личность.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также прилагается документ, подтверждающий полномочия этого лица.</w:t>
            </w:r>
          </w:p>
          <w:p>
            <w:pPr>
              <w:pStyle w:val="Normal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Предложение о цене продаваемого на конкурсе имущества заявляется участником конкурса в день подведения итогов конкурса.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 документам прилагается ОПИСЬ ДОКУМЕНТОВ, составленная в произвольной форме с указанием количества листов каждого документа.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21.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оформлению представляемых участниками документов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Заявка на участие в торгах заполняется и подается по утвержденной форме (Приложение 1), подписывается электронной подписью Претендента либо лица, имеющего право действовать от имени Претендента. Документы, представляемые в составе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iCs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iCs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Предложение о цене продаваемого на конкурсе имущества заявляется участником конкурса в день подведения итогов конкурса.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6"/>
                <w:szCs w:val="26"/>
                <w:u w:val="none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6"/>
                <w:szCs w:val="26"/>
                <w:u w:val="none"/>
              </w:rPr>
              <w:t>ретендент (участник) вправе подать только одно предложение о цене имущества, которое не может быть изменено.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ВНИМАНИЕ!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22.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Ограничение участия отдельных категорий участников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 участию в процедуре продажи допускаются любые юридические и физические лица, за исключением: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-государственных и муниципальных унитарных предприятий, государственных и муниципальных учреждений;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25%;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юридических лиц, местом регистрации которых является государство или территория, включённые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юридических лиц, в отношении которых офшорной компанией или группой лиц, в которую входит офшорная компания, осуществляется контроль;</w:t>
            </w:r>
          </w:p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иных случаев, предусмотренных статьёй 5 Закона о приватизации.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Понятия «группа лиц» и «контроль» используются в значениях, указанных соответственно в статьях 9 и 11 Федерального закона от 26.07.2006 № 135-ФЗ «О защите конкуренции»</w:t>
            </w:r>
          </w:p>
        </w:tc>
      </w:tr>
      <w:tr>
        <w:trPr/>
        <w:tc>
          <w:tcPr>
            <w:tcW w:w="10262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FFFFCC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Условия проведения процедуры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23.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Форма подачи предложений 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ене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Открытая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Место и порядок подачи заявок на участие в приватизации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cs="Times New Roman;serif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Заявка на участие в процедуре продажи подаётся путём заполнения её электронной формы на электронной торговой площадке </w:t>
            </w:r>
            <w:hyperlink r:id="rId7">
              <w:r>
                <w:rPr>
                  <w:rStyle w:val="Style14"/>
                  <w:rFonts w:cs="Times New Roman;serif" w:ascii="Times New Roman" w:hAnsi="Times New Roman"/>
                  <w:b w:val="false"/>
                  <w:i w:val="false"/>
                  <w:caps w:val="false"/>
                  <w:smallCaps w:val="false"/>
                  <w:spacing w:val="0"/>
                  <w:sz w:val="26"/>
                  <w:szCs w:val="26"/>
                </w:rPr>
                <w:t>http://utp.sberbank-ast.ru</w:t>
              </w:r>
            </w:hyperlink>
            <w:r>
              <w:rPr>
                <w:rFonts w:cs="Times New Roman;serif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в сети интернет.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25.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Дата и время начала подачи заявок на участие</w:t>
            </w:r>
          </w:p>
        </w:tc>
        <w:tc>
          <w:tcPr>
            <w:tcW w:w="3169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 (МСК)</w:t>
            </w:r>
          </w:p>
        </w:tc>
        <w:tc>
          <w:tcPr>
            <w:tcW w:w="4312" w:type="dxa"/>
            <w:vMerge w:val="restart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atLeast" w:line="225" w:before="0" w:after="11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ВНИМАНИЕ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! Указанное в настоящем информационном сообщении время – серверное время электронной площадки (МОСКОВСКОЕ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UTC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+ 3)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26.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Дата и время окончания подачи заявок на участие</w:t>
            </w:r>
          </w:p>
        </w:tc>
        <w:tc>
          <w:tcPr>
            <w:tcW w:w="3169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:00 (МСК)</w:t>
            </w:r>
          </w:p>
        </w:tc>
        <w:tc>
          <w:tcPr>
            <w:tcW w:w="4312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27.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Дата рассмотрения заявок на участие (дата определения участников)</w:t>
            </w:r>
          </w:p>
        </w:tc>
        <w:tc>
          <w:tcPr>
            <w:tcW w:w="3169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12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28.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Дата и время начала торговой сессии</w:t>
            </w:r>
          </w:p>
        </w:tc>
        <w:tc>
          <w:tcPr>
            <w:tcW w:w="3169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:00 (МСК)</w:t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312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29.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Порядок определения победителя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spacing w:lineRule="atLeast" w:line="225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Право приобретения государственного или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      </w:r>
          </w:p>
        </w:tc>
      </w:tr>
      <w:tr>
        <w:trPr>
          <w:trHeight w:val="465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Отказ от проведения процедуры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70" w:before="0" w:after="115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Извещение об отказе в проведении процедуры размещается</w:t>
              <w:br/>
              <w:t xml:space="preserve">на официальном сайте РФ для размещения информации о проведении торгов </w:t>
            </w:r>
            <w:hyperlink r:id="rId8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https://torgi.gov.ru/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электронной площадки с сети Интернет </w:t>
            </w:r>
            <w:hyperlink r:id="rId9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http</w:t>
              </w:r>
            </w:hyperlink>
            <w:hyperlink r:id="rId10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://</w:t>
              </w:r>
            </w:hyperlink>
            <w:hyperlink r:id="rId11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utp</w:t>
              </w:r>
            </w:hyperlink>
            <w:hyperlink r:id="rId12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</w:hyperlink>
            <w:hyperlink r:id="rId13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sberbank</w:t>
              </w:r>
            </w:hyperlink>
            <w:hyperlink r:id="rId14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-</w:t>
              </w:r>
            </w:hyperlink>
            <w:hyperlink r:id="rId15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ast</w:t>
              </w:r>
            </w:hyperlink>
            <w:hyperlink r:id="rId16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</w:hyperlink>
            <w:hyperlink r:id="rId17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</w:hyperlink>
            <w:hyperlink r:id="rId18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</w:hyperlink>
            <w:hyperlink r:id="rId19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AP</w:t>
              </w:r>
            </w:hyperlink>
            <w:hyperlink r:id="rId20">
              <w:r>
                <w:rPr>
                  <w:rStyle w:val="Style14"/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trike w:val="false"/>
                <w:dstrike w:val="false"/>
                <w:color w:val="00000A"/>
                <w:sz w:val="26"/>
                <w:szCs w:val="26"/>
                <w:u w:val="none"/>
                <w:effect w:val="none"/>
              </w:rPr>
              <w:t xml:space="preserve">сайте организатора торгов </w:t>
            </w:r>
            <w:r>
              <w:rPr>
                <w:rFonts w:ascii="Times New Roman" w:hAnsi="Times New Roman"/>
                <w:strike w:val="false"/>
                <w:dstrike w:val="false"/>
                <w:color w:val="0563C1"/>
                <w:sz w:val="26"/>
                <w:szCs w:val="26"/>
                <w:u w:val="single"/>
                <w:effect w:val="none"/>
              </w:rPr>
              <w:t>https://dms.admsov.com/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направляется участникам торгов (лицам, подавшим заявки на участие) и прекращает блокировку денежных средств в размере задатка на лицевых счетах таких Претендентов на площадке.</w:t>
            </w:r>
          </w:p>
        </w:tc>
      </w:tr>
      <w:tr>
        <w:trPr/>
        <w:tc>
          <w:tcPr>
            <w:tcW w:w="10262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FFFFCC" w:val="clear"/>
          </w:tcPr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Документы и сведения</w:t>
            </w:r>
          </w:p>
        </w:tc>
      </w:tr>
      <w:tr>
        <w:trPr>
          <w:trHeight w:val="675" w:hRule="atLeast"/>
        </w:trPr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 договора купли-продажи имущества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tLeast" w:line="225" w:before="0" w:after="115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проектом договора купли-продажи можно ознакомиться в приложенных документах к настоящему информационному сообщению (Приложение 2). 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32.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Информация о предыдущих торгах по продаже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мущества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  <w:insideH w:val="single" w:sz="2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r>
          </w:p>
          <w:p>
            <w:pPr>
              <w:pStyle w:val="Style20"/>
              <w:widowControl/>
              <w:spacing w:lineRule="atLeast" w:line="225" w:before="0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отсутствует</w:t>
            </w:r>
          </w:p>
        </w:tc>
      </w:tr>
      <w:tr>
        <w:trPr/>
        <w:tc>
          <w:tcPr>
            <w:tcW w:w="278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Style20"/>
              <w:widowControl/>
              <w:spacing w:lineRule="atLeast" w:line="225" w:before="0" w:after="1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33.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Дополнительные документы и сведения</w:t>
            </w:r>
          </w:p>
        </w:tc>
        <w:tc>
          <w:tcPr>
            <w:tcW w:w="7481" w:type="dxa"/>
            <w:gridSpan w:val="2"/>
            <w:tcBorders>
              <w:left w:val="single" w:sz="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Порядок регистрации на электронной площадке</w:t>
            </w:r>
          </w:p>
          <w:p>
            <w:pPr>
              <w:pStyle w:val="3"/>
              <w:tabs>
                <w:tab w:val="left" w:pos="118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  </w:t>
            </w:r>
            <w:hyperlink r:id="rId21">
              <w:r>
                <w:rPr>
                  <w:rStyle w:val="Style14"/>
                  <w:rFonts w:ascii="Times New Roman" w:hAnsi="Times New Roman"/>
                  <w:b w:val="false"/>
                  <w:bCs w:val="false"/>
                  <w:sz w:val="26"/>
                  <w:szCs w:val="26"/>
                </w:rPr>
                <w:t>http://utp.sberbank-ast.ru</w:t>
              </w:r>
            </w:hyperlink>
          </w:p>
          <w:p>
            <w:pPr>
              <w:pStyle w:val="3"/>
              <w:tabs>
                <w:tab w:val="left" w:pos="118" w:leader="none"/>
              </w:tabs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Регистрация на электронной площадке осуществляется без взимания платы.</w:t>
            </w:r>
          </w:p>
          <w:p>
            <w:pPr>
              <w:pStyle w:val="3"/>
              <w:tabs>
                <w:tab w:val="left" w:pos="118" w:leader="none"/>
              </w:tabs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>
            <w:pPr>
              <w:pStyle w:val="3"/>
              <w:tabs>
                <w:tab w:val="left" w:pos="118" w:leader="none"/>
              </w:tabs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Регистрация на электронной площадке проводится в соответствии с Регламентом электронной площадки и руководством участника по процедуре «Приватизация имущества».</w:t>
            </w:r>
          </w:p>
          <w:p>
            <w:pPr>
              <w:pStyle w:val="3"/>
              <w:tabs>
                <w:tab w:val="left" w:pos="118" w:leader="none"/>
              </w:tabs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сведений.</w:t>
            </w:r>
          </w:p>
        </w:tc>
      </w:tr>
    </w:tbl>
    <w:p>
      <w:pPr>
        <w:pStyle w:val="Style16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Calibri">
    <w:altName w:val="serif"/>
    <w:charset w:val="cc"/>
    <w:family w:val="auto"/>
    <w:pitch w:val="default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4"/>
        <w:i/>
        <w:szCs w:val="24"/>
        <w:iCs/>
        <w:rFonts w:ascii="Times New Roman" w:hAnsi="Times New Roman" w:cs="Times New Roman"/>
        <w:lang w:eastAsia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>
      <w:suppressAutoHyphens w:val="false"/>
      <w:spacing w:lineRule="auto" w:line="480" w:before="0" w:after="120"/>
    </w:pPr>
    <w:rPr/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Main/NBT/DefaultAction/0/3/0/0" TargetMode="External"/><Relationship Id="rId3" Type="http://schemas.openxmlformats.org/officeDocument/2006/relationships/hyperlink" Target="https://dms.admsov.com/" TargetMode="External"/><Relationship Id="rId4" Type="http://schemas.openxmlformats.org/officeDocument/2006/relationships/hyperlink" Target="mailto:Bogatovasg@admsov.com" TargetMode="External"/><Relationship Id="rId5" Type="http://schemas.openxmlformats.org/officeDocument/2006/relationships/hyperlink" Target="http://utp.sberbank-ast.ru/Bankruptcy/Notice/698/Requisites" TargetMode="External"/><Relationship Id="rId6" Type="http://schemas.openxmlformats.org/officeDocument/2006/relationships/hyperlink" Target="mailto:Bogatovasg@admsov.com" TargetMode="External"/><Relationship Id="rId7" Type="http://schemas.openxmlformats.org/officeDocument/2006/relationships/hyperlink" Target="http://utp.sberbank-ast.ru/Main/NBT/DefaultAction/0/3/0/0" TargetMode="External"/><Relationship Id="rId8" Type="http://schemas.openxmlformats.org/officeDocument/2006/relationships/hyperlink" Target="https://torgi.gov.ru/" TargetMode="External"/><Relationship Id="rId9" Type="http://schemas.openxmlformats.org/officeDocument/2006/relationships/hyperlink" Target="http://utp.sberbank-ast.ru/AP/" TargetMode="External"/><Relationship Id="rId10" Type="http://schemas.openxmlformats.org/officeDocument/2006/relationships/hyperlink" Target="http://utp.sberbank-ast.ru/AP/" TargetMode="External"/><Relationship Id="rId11" Type="http://schemas.openxmlformats.org/officeDocument/2006/relationships/hyperlink" Target="http://utp.sberbank-ast.ru/AP/" TargetMode="External"/><Relationship Id="rId12" Type="http://schemas.openxmlformats.org/officeDocument/2006/relationships/hyperlink" Target="http://utp.sberbank-ast.ru/AP/" TargetMode="External"/><Relationship Id="rId13" Type="http://schemas.openxmlformats.org/officeDocument/2006/relationships/hyperlink" Target="http://utp.sberbank-ast.ru/AP/" TargetMode="External"/><Relationship Id="rId14" Type="http://schemas.openxmlformats.org/officeDocument/2006/relationships/hyperlink" Target="http://utp.sberbank-ast.ru/AP/" TargetMode="External"/><Relationship Id="rId15" Type="http://schemas.openxmlformats.org/officeDocument/2006/relationships/hyperlink" Target="http://utp.sberbank-ast.ru/AP/" TargetMode="External"/><Relationship Id="rId16" Type="http://schemas.openxmlformats.org/officeDocument/2006/relationships/hyperlink" Target="http://utp.sberbank-ast.ru/AP/" TargetMode="External"/><Relationship Id="rId17" Type="http://schemas.openxmlformats.org/officeDocument/2006/relationships/hyperlink" Target="http://utp.sberbank-ast.ru/AP/" TargetMode="External"/><Relationship Id="rId18" Type="http://schemas.openxmlformats.org/officeDocument/2006/relationships/hyperlink" Target="http://utp.sberbank-ast.ru/AP/" TargetMode="External"/><Relationship Id="rId19" Type="http://schemas.openxmlformats.org/officeDocument/2006/relationships/hyperlink" Target="http://utp.sberbank-ast.ru/AP/" TargetMode="External"/><Relationship Id="rId20" Type="http://schemas.openxmlformats.org/officeDocument/2006/relationships/hyperlink" Target="http://utp.sberbank-ast.ru/AP/" TargetMode="External"/><Relationship Id="rId21" Type="http://schemas.openxmlformats.org/officeDocument/2006/relationships/hyperlink" Target="http://utp.sberbank-ast.ru/Main/NBT/DefaultAction/0/3/0/0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1690</TotalTime>
  <Application>LibreOffice/6.0.6.2$Windows_X86_64 LibreOffice_project/0c292870b25a325b5ed35f6b45599d2ea4458e77</Application>
  <Pages>11</Pages>
  <Words>2690</Words>
  <Characters>19392</Characters>
  <CharactersWithSpaces>21962</CharactersWithSpaces>
  <Paragraphs>173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2020-03-06T14:15:00Z</dcterms:created>
  <dc:creator/>
  <dc:description/>
  <dc:language>ru-RU</dc:language>
  <cp:lastModifiedBy/>
  <cp:lastPrinted>2021-04-13T16:44:01Z</cp:lastPrinted>
  <dcterms:modified xsi:type="dcterms:W3CDTF">2021-04-14T16:40:37Z</dcterms:modified>
  <cp:revision>38</cp:revision>
  <dc:subject/>
  <dc:title>Федеральный закон от 21.12.2001 N 178-ФЗ(ред. от 02.08.2019)"О приватизации государственного и муниципального имущества"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